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5B" w:rsidRPr="0082525B" w:rsidRDefault="0082525B" w:rsidP="008252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2525B" w:rsidRPr="0082525B" w:rsidRDefault="0082525B" w:rsidP="008252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СОЛНЕЧНОГО СЕЛЬСОВЕТА </w:t>
      </w:r>
    </w:p>
    <w:p w:rsidR="0082525B" w:rsidRPr="0082525B" w:rsidRDefault="0082525B" w:rsidP="008252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СКОВОРОДИНСКИЙ РАЙОН  АМУРСКОЙ ОБЛАСТИ</w:t>
      </w:r>
    </w:p>
    <w:p w:rsidR="0082525B" w:rsidRPr="0082525B" w:rsidRDefault="0082525B" w:rsidP="00825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5B" w:rsidRDefault="0082525B" w:rsidP="008252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82525B" w:rsidRPr="0082525B" w:rsidRDefault="0082525B" w:rsidP="008252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015" w:rsidRPr="0082525B" w:rsidRDefault="006B43CB" w:rsidP="0082525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12.03</w:t>
      </w:r>
      <w:r w:rsidR="0082525B" w:rsidRPr="0082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                                 </w:t>
      </w:r>
      <w:proofErr w:type="spellStart"/>
      <w:r w:rsidR="0082525B" w:rsidRPr="0082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ж.д.ст</w:t>
      </w:r>
      <w:proofErr w:type="spellEnd"/>
      <w:r w:rsidR="0082525B" w:rsidRPr="0082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БАМ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 31</w:t>
      </w:r>
    </w:p>
    <w:p w:rsidR="004A3015" w:rsidRPr="00C24CF5" w:rsidRDefault="004A3015" w:rsidP="00C24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CF5" w:rsidRPr="0082525B" w:rsidRDefault="00C24CF5" w:rsidP="0082525B">
      <w:pPr>
        <w:pStyle w:val="a3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Об утверждении Положения о порядке и сроках применения </w:t>
      </w:r>
      <w:r w:rsidR="0082525B"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взысканий, предусмотренных </w:t>
      </w:r>
      <w:r w:rsidR="0082525B"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статьями 14.1, 15 и 27</w:t>
      </w:r>
      <w:r w:rsidR="004A3015"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Федерального закона от 2 марта 2007 года № 25-ФЗ</w:t>
      </w:r>
      <w:r w:rsidR="004A3015"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="0082525B"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Pr="0082525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«О муниципальной службе в Российской Федерации»</w:t>
      </w:r>
    </w:p>
    <w:p w:rsidR="00C24CF5" w:rsidRDefault="00C24CF5" w:rsidP="00C24CF5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A5B59" w:rsidRPr="00C24CF5" w:rsidRDefault="000A5B59" w:rsidP="00C24CF5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82525B" w:rsidRDefault="00C24CF5" w:rsidP="0082525B">
      <w:pPr>
        <w:pStyle w:val="a3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F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4CF5">
        <w:rPr>
          <w:rFonts w:ascii="Times New Roman" w:eastAsia="Calibri" w:hAnsi="Times New Roman" w:cs="Times New Roman"/>
          <w:spacing w:val="10"/>
          <w:sz w:val="28"/>
          <w:szCs w:val="28"/>
        </w:rPr>
        <w:t>В соответствии с</w:t>
      </w:r>
      <w:r w:rsidR="009B45B2" w:rsidRPr="00297AA6">
        <w:rPr>
          <w:rFonts w:ascii="Times New Roman" w:hAnsi="Times New Roman" w:cs="Times New Roman"/>
          <w:sz w:val="28"/>
          <w:szCs w:val="28"/>
        </w:rPr>
        <w:t xml:space="preserve"> Трудовым </w:t>
      </w:r>
      <w:hyperlink r:id="rId6" w:history="1">
        <w:r w:rsidR="009B45B2" w:rsidRPr="004A30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B45B2" w:rsidRPr="00297AA6">
        <w:rPr>
          <w:rFonts w:ascii="Times New Roman" w:hAnsi="Times New Roman" w:cs="Times New Roman"/>
          <w:sz w:val="28"/>
          <w:szCs w:val="28"/>
        </w:rPr>
        <w:t xml:space="preserve"> Ро</w:t>
      </w:r>
      <w:r w:rsidR="0082525B"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законом </w:t>
      </w:r>
      <w:r w:rsidR="009B45B2" w:rsidRPr="00297AA6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hyperlink r:id="rId7" w:history="1">
        <w:r w:rsidR="004A3015" w:rsidRPr="004A3015">
          <w:rPr>
            <w:rFonts w:ascii="Times New Roman" w:hAnsi="Times New Roman" w:cs="Times New Roman"/>
            <w:sz w:val="28"/>
            <w:szCs w:val="28"/>
          </w:rPr>
          <w:t>№</w:t>
        </w:r>
        <w:r w:rsidR="009B45B2" w:rsidRPr="004A3015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9B45B2" w:rsidRPr="00297AA6">
        <w:rPr>
          <w:rFonts w:ascii="Times New Roman" w:hAnsi="Times New Roman" w:cs="Times New Roman"/>
          <w:sz w:val="28"/>
          <w:szCs w:val="28"/>
        </w:rPr>
        <w:t xml:space="preserve"> </w:t>
      </w:r>
      <w:r w:rsidR="004A3015">
        <w:rPr>
          <w:rFonts w:ascii="Times New Roman" w:hAnsi="Times New Roman" w:cs="Times New Roman"/>
          <w:sz w:val="28"/>
          <w:szCs w:val="28"/>
        </w:rPr>
        <w:t>«</w:t>
      </w:r>
      <w:r w:rsidR="009B45B2" w:rsidRPr="00297AA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A3015">
        <w:rPr>
          <w:rFonts w:ascii="Times New Roman" w:hAnsi="Times New Roman" w:cs="Times New Roman"/>
          <w:sz w:val="28"/>
          <w:szCs w:val="28"/>
        </w:rPr>
        <w:t>»</w:t>
      </w:r>
      <w:r w:rsidR="009B45B2" w:rsidRPr="00297AA6">
        <w:rPr>
          <w:rFonts w:ascii="Times New Roman" w:hAnsi="Times New Roman" w:cs="Times New Roman"/>
          <w:sz w:val="28"/>
          <w:szCs w:val="28"/>
        </w:rPr>
        <w:t xml:space="preserve">, </w:t>
      </w:r>
      <w:r w:rsidR="008252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B45B2" w:rsidRPr="00297AA6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hyperlink r:id="rId8" w:history="1">
        <w:r w:rsidR="004A3015" w:rsidRPr="004A3015">
          <w:rPr>
            <w:rFonts w:ascii="Times New Roman" w:hAnsi="Times New Roman" w:cs="Times New Roman"/>
            <w:sz w:val="28"/>
            <w:szCs w:val="28"/>
          </w:rPr>
          <w:t>№</w:t>
        </w:r>
        <w:r w:rsidR="009B45B2" w:rsidRPr="004A3015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9B45B2" w:rsidRPr="00297AA6">
        <w:rPr>
          <w:rFonts w:ascii="Times New Roman" w:hAnsi="Times New Roman" w:cs="Times New Roman"/>
          <w:sz w:val="28"/>
          <w:szCs w:val="28"/>
        </w:rPr>
        <w:t xml:space="preserve"> </w:t>
      </w:r>
      <w:r w:rsidR="0082525B">
        <w:rPr>
          <w:rFonts w:ascii="Times New Roman" w:hAnsi="Times New Roman" w:cs="Times New Roman"/>
          <w:sz w:val="28"/>
          <w:szCs w:val="28"/>
        </w:rPr>
        <w:t xml:space="preserve"> </w:t>
      </w:r>
      <w:r w:rsidR="004A3015">
        <w:rPr>
          <w:rFonts w:ascii="Times New Roman" w:hAnsi="Times New Roman" w:cs="Times New Roman"/>
          <w:sz w:val="28"/>
          <w:szCs w:val="28"/>
        </w:rPr>
        <w:t>«</w:t>
      </w:r>
      <w:r w:rsidR="009B45B2" w:rsidRPr="00297AA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A3015">
        <w:rPr>
          <w:rFonts w:ascii="Times New Roman" w:hAnsi="Times New Roman" w:cs="Times New Roman"/>
          <w:sz w:val="28"/>
          <w:szCs w:val="28"/>
        </w:rPr>
        <w:t>»</w:t>
      </w:r>
      <w:r w:rsidR="004A30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25B" w:rsidRDefault="0082525B" w:rsidP="00E245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CF5" w:rsidRPr="0082525B" w:rsidRDefault="00C24CF5" w:rsidP="00E2452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2525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82525B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</w:t>
      </w:r>
      <w:r w:rsidR="0082525B" w:rsidRPr="0082525B">
        <w:rPr>
          <w:rFonts w:ascii="Times New Roman" w:eastAsia="Calibri" w:hAnsi="Times New Roman" w:cs="Times New Roman"/>
          <w:b/>
          <w:sz w:val="28"/>
          <w:szCs w:val="28"/>
        </w:rPr>
        <w:t>е т</w:t>
      </w:r>
      <w:r w:rsidRPr="0082525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2525B" w:rsidRPr="00C24CF5" w:rsidRDefault="0082525B" w:rsidP="00E245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CF5" w:rsidRPr="00C24CF5" w:rsidRDefault="00C24CF5" w:rsidP="0082525B">
      <w:pPr>
        <w:pStyle w:val="a3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C24CF5"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</w:t>
      </w:r>
      <w:r w:rsidR="00E24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CF5">
        <w:rPr>
          <w:rFonts w:ascii="Times New Roman" w:eastAsia="Calibri" w:hAnsi="Times New Roman" w:cs="Times New Roman"/>
          <w:sz w:val="28"/>
          <w:szCs w:val="28"/>
        </w:rPr>
        <w:t>25-ФЗ «О муниципальной службе Российской Федерации» (прилагается).</w:t>
      </w:r>
    </w:p>
    <w:p w:rsidR="00316F3C" w:rsidRPr="00316F3C" w:rsidRDefault="00E2452E" w:rsidP="007D0DC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CF5" w:rsidRPr="00316F3C">
        <w:rPr>
          <w:rFonts w:ascii="Times New Roman" w:hAnsi="Times New Roman" w:cs="Times New Roman"/>
          <w:sz w:val="28"/>
          <w:szCs w:val="28"/>
        </w:rPr>
        <w:t>2</w:t>
      </w:r>
      <w:r w:rsidRPr="00316F3C">
        <w:rPr>
          <w:rFonts w:ascii="Times New Roman" w:hAnsi="Times New Roman" w:cs="Times New Roman"/>
          <w:sz w:val="28"/>
          <w:szCs w:val="28"/>
        </w:rPr>
        <w:t>.</w:t>
      </w:r>
      <w:r w:rsidR="0082525B" w:rsidRPr="00316F3C">
        <w:rPr>
          <w:rFonts w:ascii="Tahoma" w:eastAsia="Calibri" w:hAnsi="Tahoma" w:cs="Tahoma"/>
          <w:sz w:val="20"/>
          <w:szCs w:val="20"/>
          <w:shd w:val="clear" w:color="auto" w:fill="FFFFFF"/>
        </w:rPr>
        <w:t xml:space="preserve"> </w:t>
      </w:r>
      <w:r w:rsidR="00316F3C" w:rsidRPr="00316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Главному специалисту администрации Солнечного сельсовета Башкировой А.С., обеспечить ознакомление с настоящим постановлением муниципальных служащих администрации Солнечного сельсовета</w:t>
      </w:r>
      <w:r w:rsidR="007D0D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 роспись</w:t>
      </w:r>
      <w:r w:rsidR="00316F3C" w:rsidRPr="00316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2525B" w:rsidRDefault="00316F3C" w:rsidP="00825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82525B" w:rsidRPr="00825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установленном законом порядке.</w:t>
      </w:r>
    </w:p>
    <w:p w:rsidR="0082525B" w:rsidRPr="0082525B" w:rsidRDefault="00316F3C" w:rsidP="00316F3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82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525B" w:rsidRPr="0082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525B" w:rsidRPr="0082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525B" w:rsidRPr="0082525B" w:rsidRDefault="0082525B" w:rsidP="00825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F5" w:rsidRPr="00C24CF5" w:rsidRDefault="00C24CF5" w:rsidP="00E2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CF5" w:rsidRPr="00C24CF5" w:rsidRDefault="00C24CF5" w:rsidP="009B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="00825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5B" w:rsidRPr="0082525B" w:rsidRDefault="0082525B" w:rsidP="00825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           А.В. Сенотрусова</w:t>
      </w:r>
    </w:p>
    <w:p w:rsidR="00C24CF5" w:rsidRPr="00C24CF5" w:rsidRDefault="00C24CF5" w:rsidP="00E2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CF5" w:rsidRPr="00C24CF5" w:rsidRDefault="00C24CF5" w:rsidP="00C24CF5">
      <w:pPr>
        <w:pStyle w:val="a3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C24CF5" w:rsidRPr="00C24CF5" w:rsidRDefault="00C24CF5" w:rsidP="00C24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96A" w:rsidRDefault="00B0396A" w:rsidP="00B0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6A" w:rsidRDefault="00B0396A" w:rsidP="00B0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2E" w:rsidRDefault="00E2452E" w:rsidP="00E24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452E" w:rsidRDefault="00E2452E" w:rsidP="00E24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2E" w:rsidRPr="00E2452E" w:rsidRDefault="00E2452E" w:rsidP="008252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82525B" w:rsidTr="006B43CB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2525B" w:rsidRDefault="0082525B" w:rsidP="00825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2525B" w:rsidRDefault="0082525B" w:rsidP="00825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37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72F04" w:rsidRDefault="00372F04" w:rsidP="00825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сельсовета </w:t>
            </w:r>
          </w:p>
          <w:p w:rsidR="00372F04" w:rsidRDefault="006B43CB" w:rsidP="00825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от 12.03.2020 года</w:t>
            </w:r>
            <w:r w:rsidR="0037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525B" w:rsidRDefault="0082525B" w:rsidP="004A3015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B0396A" w:rsidRDefault="00B0396A" w:rsidP="004A3015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4A3015" w:rsidRPr="00E2452E" w:rsidRDefault="004A3015" w:rsidP="004A3015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76D05" w:rsidRPr="00F76D05" w:rsidRDefault="00F76D05" w:rsidP="00F76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6D05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136FF3" w:rsidRDefault="00F76D05" w:rsidP="00F76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6D05">
        <w:rPr>
          <w:rFonts w:ascii="Times New Roman" w:hAnsi="Times New Roman" w:cs="Times New Roman"/>
          <w:b/>
          <w:sz w:val="28"/>
          <w:szCs w:val="28"/>
          <w:lang w:eastAsia="ar-SA"/>
        </w:rPr>
        <w:t>о порядке и сроках применения взысканий, предусмотренных статьями 14.1, 15 и 27 Федерального закона от 2 марта 2007 года №25-ФЗ</w:t>
      </w:r>
    </w:p>
    <w:p w:rsidR="00F76D05" w:rsidRPr="00F76D05" w:rsidRDefault="00F76D05" w:rsidP="00F76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6D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«О муниципальной службе в Российской Федерации»</w:t>
      </w:r>
    </w:p>
    <w:p w:rsidR="00B0396A" w:rsidRDefault="00B0396A" w:rsidP="00297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FF3" w:rsidRPr="00297AA6" w:rsidRDefault="00136FF3" w:rsidP="00297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C47" w:rsidRPr="005F1C47" w:rsidRDefault="00E625E6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17B31" w:rsidRPr="005F1C47">
        <w:rPr>
          <w:rFonts w:ascii="Times New Roman" w:hAnsi="Times New Roman" w:cs="Times New Roman"/>
          <w:sz w:val="28"/>
          <w:szCs w:val="28"/>
        </w:rPr>
        <w:t>За несоблюдение муниципальн</w:t>
      </w:r>
      <w:r w:rsidR="006F7F01">
        <w:rPr>
          <w:rFonts w:ascii="Times New Roman" w:hAnsi="Times New Roman" w:cs="Times New Roman"/>
          <w:sz w:val="28"/>
          <w:szCs w:val="28"/>
        </w:rPr>
        <w:t xml:space="preserve">ым служащим администрации Солнечного сельсовета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налагаются следующие взыскания: </w:t>
      </w:r>
      <w:proofErr w:type="gramEnd"/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1) замечание; </w:t>
      </w:r>
    </w:p>
    <w:p w:rsidR="005F1C47" w:rsidRPr="005F1C47" w:rsidRDefault="005F1C47" w:rsidP="00D17B3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2) выговор; </w:t>
      </w:r>
    </w:p>
    <w:p w:rsidR="005F1C47" w:rsidRPr="005F1C47" w:rsidRDefault="005F1C47" w:rsidP="00D17B3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3) увольнение с муниципальной службы по соответствующим основаниям. </w:t>
      </w:r>
    </w:p>
    <w:p w:rsidR="005F1C47" w:rsidRPr="005F1C47" w:rsidRDefault="005F1C47" w:rsidP="00D17B3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17B31" w:rsidRPr="005F1C47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Федерации»: непринятие муниципальным служащим, являющимся стороной конфликта интересов, мер по предотвращению или урегулированию конфликта интересов и непредставление муниципальным служащим сведений о своих доходах, расходах, об имуществе и обязательствах имущественного характера, а также</w:t>
      </w:r>
      <w:proofErr w:type="gramEnd"/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 </w:t>
      </w:r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>3. Взыскания за коррупционные правонарушения применяются ра</w:t>
      </w:r>
      <w:r w:rsidR="007D0DC2">
        <w:rPr>
          <w:rFonts w:ascii="Times New Roman" w:hAnsi="Times New Roman" w:cs="Times New Roman"/>
          <w:sz w:val="28"/>
          <w:szCs w:val="28"/>
        </w:rPr>
        <w:t>ботодателем (в лице главы Солнечного сельсовета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), заключившим с муниципальным служащим трудовой договор на основании: </w:t>
      </w:r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C47"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DC2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7D0DC2">
        <w:rPr>
          <w:rFonts w:ascii="Times New Roman" w:hAnsi="Times New Roman" w:cs="Times New Roman"/>
          <w:sz w:val="28"/>
          <w:szCs w:val="28"/>
        </w:rPr>
        <w:t xml:space="preserve">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правонарушений; </w:t>
      </w:r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C47"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C47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7D0DC2">
        <w:rPr>
          <w:rFonts w:ascii="Times New Roman" w:hAnsi="Times New Roman" w:cs="Times New Roman"/>
          <w:sz w:val="28"/>
          <w:szCs w:val="28"/>
        </w:rPr>
        <w:t xml:space="preserve">лица,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ответственного за работу по профилактике коррупционных и иных правонарушений,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  <w:proofErr w:type="gramEnd"/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C47"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служащего; </w:t>
      </w:r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C47"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5) иных материалов (обращения граждан и юридических лиц, представлений прокурора, информации правоохранительных органов, средств массовой информации, общественных организаций и т.д.). </w:t>
      </w:r>
    </w:p>
    <w:p w:rsid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17B31" w:rsidRPr="005F1C47">
        <w:rPr>
          <w:rFonts w:ascii="Times New Roman" w:hAnsi="Times New Roman" w:cs="Times New Roman"/>
          <w:sz w:val="28"/>
          <w:szCs w:val="28"/>
        </w:rPr>
        <w:t>При поступлении иных материалов дающих основания полагать, что муниципальным служащим были совершены коррупционные правонарушения, непосредственно работодателю, последний, в трехдневный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направляет их </w:t>
      </w:r>
      <w:r w:rsidR="007D0DC2">
        <w:rPr>
          <w:rFonts w:ascii="Times New Roman" w:hAnsi="Times New Roman" w:cs="Times New Roman"/>
          <w:sz w:val="28"/>
          <w:szCs w:val="28"/>
        </w:rPr>
        <w:t xml:space="preserve">лицу, </w:t>
      </w: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с поручением провести проверку с целью установления факта совершения (не совершения) коррупционного правонарушения. </w:t>
      </w:r>
      <w:proofErr w:type="gramEnd"/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Данная проверка проводится в срок, не превышающий 20 календарных дней. </w:t>
      </w:r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>5.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F1C47" w:rsidRPr="005F1C47" w:rsidRDefault="005F1C47" w:rsidP="005F1C4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17B31" w:rsidRPr="005F1C47">
        <w:rPr>
          <w:rFonts w:ascii="Times New Roman" w:hAnsi="Times New Roman" w:cs="Times New Roman"/>
          <w:sz w:val="28"/>
          <w:szCs w:val="28"/>
        </w:rPr>
        <w:t>6. В ходе прове</w:t>
      </w:r>
      <w:r>
        <w:rPr>
          <w:rFonts w:ascii="Times New Roman" w:hAnsi="Times New Roman" w:cs="Times New Roman"/>
          <w:sz w:val="28"/>
          <w:szCs w:val="28"/>
        </w:rPr>
        <w:t>рки, проводимой</w:t>
      </w:r>
      <w:r w:rsidR="007D0DC2">
        <w:rPr>
          <w:rFonts w:ascii="Times New Roman" w:hAnsi="Times New Roman" w:cs="Times New Roman"/>
          <w:sz w:val="28"/>
          <w:szCs w:val="28"/>
        </w:rPr>
        <w:t xml:space="preserve"> лицом,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правонарушений, у муниципального служащего </w:t>
      </w:r>
      <w:proofErr w:type="spellStart"/>
      <w:r w:rsidR="00D17B31" w:rsidRPr="005F1C47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 по существу допущенного коррупционного правонарушения. Если по истечении двух рабочих дней указанное объяснение муниципальным служащим не п</w:t>
      </w:r>
      <w:r w:rsidR="00A73E26">
        <w:rPr>
          <w:rFonts w:ascii="Times New Roman" w:hAnsi="Times New Roman" w:cs="Times New Roman"/>
          <w:sz w:val="28"/>
          <w:szCs w:val="28"/>
        </w:rPr>
        <w:t xml:space="preserve">редоставлено, то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A73E26">
        <w:rPr>
          <w:rFonts w:ascii="Times New Roman" w:hAnsi="Times New Roman" w:cs="Times New Roman"/>
          <w:sz w:val="28"/>
          <w:szCs w:val="28"/>
        </w:rPr>
        <w:t xml:space="preserve">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составляется соответствующий акт. В результате проверки, проводимой</w:t>
      </w:r>
      <w:r w:rsidR="007D0DC2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D17B31" w:rsidRPr="005F1C47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правонарушений, муниципальному служащему должно быть предоставлено право представлять документы иные материалы для подтверждения своих доводов. </w:t>
      </w:r>
    </w:p>
    <w:p w:rsidR="00A73E26" w:rsidRDefault="00A73E26" w:rsidP="00A73E2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B31" w:rsidRPr="00A73E26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="00D17B31" w:rsidRPr="00A73E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7B31" w:rsidRPr="00A73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B31" w:rsidRPr="00A73E26">
        <w:rPr>
          <w:rFonts w:ascii="Times New Roman" w:hAnsi="Times New Roman" w:cs="Times New Roman"/>
          <w:sz w:val="28"/>
          <w:szCs w:val="28"/>
        </w:rPr>
        <w:t>если по резу</w:t>
      </w:r>
      <w:r>
        <w:rPr>
          <w:rFonts w:ascii="Times New Roman" w:hAnsi="Times New Roman" w:cs="Times New Roman"/>
          <w:sz w:val="28"/>
          <w:szCs w:val="28"/>
        </w:rPr>
        <w:t xml:space="preserve">льтатам проверки </w:t>
      </w:r>
      <w:r w:rsidR="007D0DC2">
        <w:rPr>
          <w:rFonts w:ascii="Times New Roman" w:hAnsi="Times New Roman" w:cs="Times New Roman"/>
          <w:sz w:val="28"/>
          <w:szCs w:val="28"/>
        </w:rPr>
        <w:t>лицо, 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B31" w:rsidRPr="00A73E2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</w:t>
      </w:r>
      <w:r w:rsidR="007D0DC2">
        <w:rPr>
          <w:rFonts w:ascii="Times New Roman" w:hAnsi="Times New Roman" w:cs="Times New Roman"/>
          <w:sz w:val="28"/>
          <w:szCs w:val="28"/>
        </w:rPr>
        <w:t>ных и иных правонарушений приш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D0DC2">
        <w:rPr>
          <w:rFonts w:ascii="Times New Roman" w:hAnsi="Times New Roman" w:cs="Times New Roman"/>
          <w:sz w:val="28"/>
          <w:szCs w:val="28"/>
        </w:rPr>
        <w:t xml:space="preserve">о </w:t>
      </w:r>
      <w:r w:rsidR="00D17B31" w:rsidRPr="00A73E26">
        <w:rPr>
          <w:rFonts w:ascii="Times New Roman" w:hAnsi="Times New Roman" w:cs="Times New Roman"/>
          <w:sz w:val="28"/>
          <w:szCs w:val="28"/>
        </w:rPr>
        <w:t xml:space="preserve"> к выводу о наличии события коррупционного правонарушения, материалы проверки вместе с докладом о результатах проверки незамедлительно передаются работодателю для направления в комиссию по соблюдению требований к служебному поведению </w:t>
      </w:r>
      <w:r w:rsidRPr="00A73E26">
        <w:rPr>
          <w:rFonts w:ascii="Times New Roman" w:hAnsi="Times New Roman" w:cs="Times New Roman"/>
          <w:sz w:val="28"/>
          <w:szCs w:val="28"/>
        </w:rPr>
        <w:t>и урегу</w:t>
      </w:r>
      <w:r w:rsidR="00E45CE7">
        <w:rPr>
          <w:rFonts w:ascii="Times New Roman" w:hAnsi="Times New Roman" w:cs="Times New Roman"/>
          <w:sz w:val="28"/>
          <w:szCs w:val="28"/>
        </w:rPr>
        <w:t xml:space="preserve">лированию конфликтов интересов </w:t>
      </w:r>
      <w:r w:rsidRPr="00A73E26">
        <w:rPr>
          <w:rFonts w:ascii="Times New Roman" w:hAnsi="Times New Roman" w:cs="Times New Roman"/>
          <w:sz w:val="28"/>
          <w:szCs w:val="28"/>
        </w:rPr>
        <w:t xml:space="preserve"> </w:t>
      </w:r>
      <w:r w:rsidR="00E45CE7">
        <w:rPr>
          <w:rFonts w:ascii="Times New Roman" w:hAnsi="Times New Roman" w:cs="Times New Roman"/>
          <w:sz w:val="28"/>
          <w:szCs w:val="28"/>
        </w:rPr>
        <w:t>администрации Солнечного сельсовета.</w:t>
      </w:r>
    </w:p>
    <w:p w:rsidR="00E45CE7" w:rsidRPr="00E45CE7" w:rsidRDefault="00E45CE7" w:rsidP="00E45CE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5CE7">
        <w:rPr>
          <w:rFonts w:ascii="Times New Roman" w:hAnsi="Times New Roman" w:cs="Times New Roman"/>
          <w:sz w:val="28"/>
          <w:szCs w:val="28"/>
        </w:rPr>
        <w:t>8. Работодатель в трехдневный срок передает материалы проверки вместе с докладом о результатах пров</w:t>
      </w:r>
      <w:r>
        <w:rPr>
          <w:rFonts w:ascii="Times New Roman" w:hAnsi="Times New Roman" w:cs="Times New Roman"/>
          <w:sz w:val="28"/>
          <w:szCs w:val="28"/>
        </w:rPr>
        <w:t xml:space="preserve">ерки, проведенной лицом, </w:t>
      </w:r>
      <w:r w:rsidRPr="00E45CE7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Солнечного сельсовета, </w:t>
      </w:r>
      <w:r w:rsidRPr="00E45CE7">
        <w:rPr>
          <w:rFonts w:ascii="Times New Roman" w:hAnsi="Times New Roman" w:cs="Times New Roman"/>
          <w:sz w:val="28"/>
          <w:szCs w:val="28"/>
        </w:rPr>
        <w:t xml:space="preserve"> председателю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E7">
        <w:rPr>
          <w:rFonts w:ascii="Times New Roman" w:hAnsi="Times New Roman" w:cs="Times New Roman"/>
          <w:sz w:val="28"/>
          <w:szCs w:val="28"/>
        </w:rPr>
        <w:t>и урегу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лированию конфликтов интересов </w:t>
      </w:r>
      <w:r w:rsidRPr="00E4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Солнечного сельсовета</w:t>
      </w:r>
      <w:r w:rsidRPr="00E45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CE7" w:rsidRPr="00E45CE7" w:rsidRDefault="00E45CE7" w:rsidP="00E45CE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CE7">
        <w:rPr>
          <w:rFonts w:ascii="Times New Roman" w:hAnsi="Times New Roman" w:cs="Times New Roman"/>
          <w:sz w:val="28"/>
          <w:szCs w:val="28"/>
        </w:rPr>
        <w:t>9. Комиссия по соблюдению требований к служебному поведению и урегу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лированию конфликтов интересов </w:t>
      </w:r>
      <w:r w:rsidRPr="00E4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Солнечного сельсовета </w:t>
      </w:r>
      <w:r w:rsidRPr="00E45CE7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материалы в соответствии с порядком, установленным правовым актом соответствующего органа местного самоуправления, регламентирующим деятельность такой комиссии. </w:t>
      </w:r>
    </w:p>
    <w:p w:rsidR="00E45CE7" w:rsidRDefault="00E45CE7" w:rsidP="00A73E2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Глава Солнечного сельсовета </w:t>
      </w:r>
      <w:r w:rsidRPr="00E45CE7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proofErr w:type="gramStart"/>
      <w:r w:rsidRPr="00E45CE7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за коррупционное правонарушение с учетом рекомендаций соответствующей комиссии по соблюдению</w:t>
      </w:r>
      <w:proofErr w:type="gramEnd"/>
      <w:r w:rsidRPr="00E45CE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конфликтов интересов администрации  Солнечного сельсовета</w:t>
      </w:r>
      <w:r w:rsidRPr="00E45CE7">
        <w:rPr>
          <w:rFonts w:ascii="Times New Roman" w:hAnsi="Times New Roman" w:cs="Times New Roman"/>
          <w:sz w:val="28"/>
          <w:szCs w:val="28"/>
        </w:rPr>
        <w:t>.</w:t>
      </w:r>
    </w:p>
    <w:p w:rsidR="00E45CE7" w:rsidRPr="00E45CE7" w:rsidRDefault="00E45CE7" w:rsidP="00E45CE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5CE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45CE7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пунктами 1 и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  <w:proofErr w:type="gramEnd"/>
    </w:p>
    <w:p w:rsidR="00E45CE7" w:rsidRDefault="00E45CE7" w:rsidP="00A73E2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5CE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45CE7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45CE7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E45CE7" w:rsidRPr="00E45CE7" w:rsidRDefault="00E45CE7" w:rsidP="00E45CE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CE7">
        <w:rPr>
          <w:rFonts w:ascii="Times New Roman" w:hAnsi="Times New Roman" w:cs="Times New Roman"/>
          <w:sz w:val="28"/>
          <w:szCs w:val="28"/>
        </w:rPr>
        <w:t xml:space="preserve">13. Взыскание применяется не позднее шести месяцев со дня поступления информации о совершении муниципальным служащим правонарушения, предусмотренного статьями 14.1, 15, 27.1 Федерального закона от 02.03.2007 года №25-ФЗ «О муниципальной службе в Российской Федерации» и не позднее трех лет со дня его совершения. </w:t>
      </w:r>
    </w:p>
    <w:p w:rsidR="00E45CE7" w:rsidRDefault="00E45CE7" w:rsidP="00A73E2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CE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45CE7">
        <w:rPr>
          <w:rFonts w:ascii="Times New Roman" w:hAnsi="Times New Roman" w:cs="Times New Roman"/>
          <w:sz w:val="28"/>
          <w:szCs w:val="28"/>
        </w:rPr>
        <w:t>С согласия муниципального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</w:t>
      </w:r>
      <w:r>
        <w:rPr>
          <w:rFonts w:ascii="Times New Roman" w:hAnsi="Times New Roman" w:cs="Times New Roman"/>
          <w:sz w:val="28"/>
          <w:szCs w:val="28"/>
        </w:rPr>
        <w:t>енено на основании доклада</w:t>
      </w:r>
      <w:r w:rsidR="007D0DC2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профилактику</w:t>
      </w:r>
      <w:r w:rsidRPr="00E45CE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муниципального служащего.</w:t>
      </w:r>
      <w:proofErr w:type="gramEnd"/>
      <w:r w:rsidRPr="00E45CE7">
        <w:rPr>
          <w:rFonts w:ascii="Times New Roman" w:hAnsi="Times New Roman" w:cs="Times New Roman"/>
          <w:sz w:val="28"/>
          <w:szCs w:val="28"/>
        </w:rPr>
        <w:t xml:space="preserve">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E45CE7" w:rsidRDefault="00E45CE7" w:rsidP="00A73E2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5CE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45CE7">
        <w:rPr>
          <w:rFonts w:ascii="Times New Roman" w:hAnsi="Times New Roman" w:cs="Times New Roman"/>
          <w:sz w:val="28"/>
          <w:szCs w:val="28"/>
        </w:rPr>
        <w:t>При увольнения в связи с утратой доверия сведения о применении к муниципальному служащему данного вида</w:t>
      </w:r>
      <w:proofErr w:type="gramEnd"/>
      <w:r w:rsidRPr="00E45CE7">
        <w:rPr>
          <w:rFonts w:ascii="Times New Roman" w:hAnsi="Times New Roman" w:cs="Times New Roman"/>
          <w:sz w:val="28"/>
          <w:szCs w:val="28"/>
        </w:rPr>
        <w:t xml:space="preserve"> взыскания </w:t>
      </w:r>
      <w:r>
        <w:rPr>
          <w:rFonts w:ascii="Times New Roman" w:hAnsi="Times New Roman" w:cs="Times New Roman"/>
          <w:sz w:val="28"/>
          <w:szCs w:val="28"/>
        </w:rPr>
        <w:t xml:space="preserve">включаются администрацией Солнечного сельсовета </w:t>
      </w:r>
      <w:r w:rsidRPr="00E45CE7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E45CE7" w:rsidRDefault="00E45CE7" w:rsidP="00E45CE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E45CE7">
        <w:rPr>
          <w:rFonts w:ascii="Times New Roman" w:hAnsi="Times New Roman" w:cs="Times New Roman"/>
          <w:sz w:val="28"/>
          <w:szCs w:val="28"/>
        </w:rPr>
        <w:t>16. За совершенное коррупционное правонарушение может быть применено только одно взыскание.</w:t>
      </w:r>
    </w:p>
    <w:p w:rsidR="00E45CE7" w:rsidRPr="00A30902" w:rsidRDefault="00E45CE7" w:rsidP="00E45CE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902" w:rsidRPr="00A30902">
        <w:rPr>
          <w:rFonts w:ascii="Times New Roman" w:hAnsi="Times New Roman" w:cs="Times New Roman"/>
          <w:sz w:val="28"/>
          <w:szCs w:val="28"/>
        </w:rPr>
        <w:t>17. Распоряжение администрации Солнечного сельсовета 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A30902" w:rsidRPr="00A30902" w:rsidRDefault="00A30902" w:rsidP="00A309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902">
        <w:rPr>
          <w:rFonts w:ascii="Times New Roman" w:hAnsi="Times New Roman" w:cs="Times New Roman"/>
          <w:sz w:val="28"/>
          <w:szCs w:val="28"/>
        </w:rPr>
        <w:t>18. Копия р</w:t>
      </w:r>
      <w:r>
        <w:rPr>
          <w:rFonts w:ascii="Times New Roman" w:hAnsi="Times New Roman" w:cs="Times New Roman"/>
          <w:sz w:val="28"/>
          <w:szCs w:val="28"/>
        </w:rPr>
        <w:t xml:space="preserve">аспоряжения администрации Солнечного сельсовета </w:t>
      </w:r>
      <w:r w:rsidRPr="00A30902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его личному делу и направляется в комиссию по соблюдению требований к служебному поведению и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конфликтов интересов администрации  Солнечного сельсовета</w:t>
      </w:r>
      <w:r w:rsidRPr="00A30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487" w:rsidRDefault="00A30902" w:rsidP="00A309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30902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взыскание в установленном законодательством порядке.</w:t>
      </w:r>
    </w:p>
    <w:p w:rsidR="006B43CB" w:rsidRDefault="006B43CB" w:rsidP="00A309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3CB" w:rsidRDefault="006B43CB" w:rsidP="00A309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3CB" w:rsidRDefault="006B43CB" w:rsidP="00A309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3CB" w:rsidRDefault="006B43CB" w:rsidP="006B43CB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 постановлением администрации Солнечного сельсовета от 12.03.2020 года №31 «Об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6B43CB" w:rsidRDefault="006B43CB" w:rsidP="006B43CB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4"/>
        <w:gridCol w:w="3381"/>
        <w:gridCol w:w="1654"/>
        <w:gridCol w:w="2543"/>
        <w:gridCol w:w="1663"/>
      </w:tblGrid>
      <w:tr w:rsidR="006B43CB" w:rsidTr="006B43CB">
        <w:tc>
          <w:tcPr>
            <w:tcW w:w="591" w:type="dxa"/>
          </w:tcPr>
          <w:p w:rsidR="006B43CB" w:rsidRPr="006B43CB" w:rsidRDefault="006B43CB" w:rsidP="006B43C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B43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№</w:t>
            </w:r>
          </w:p>
          <w:p w:rsidR="006B43CB" w:rsidRPr="006B43CB" w:rsidRDefault="006B43CB" w:rsidP="006B43C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gramStart"/>
            <w:r w:rsidRPr="006B43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gramEnd"/>
            <w:r w:rsidRPr="006B43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/п</w:t>
            </w:r>
          </w:p>
        </w:tc>
        <w:tc>
          <w:tcPr>
            <w:tcW w:w="3390" w:type="dxa"/>
          </w:tcPr>
          <w:p w:rsidR="006B43CB" w:rsidRPr="006B43CB" w:rsidRDefault="006B43CB" w:rsidP="006B43C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B43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1656" w:type="dxa"/>
          </w:tcPr>
          <w:p w:rsidR="006B43CB" w:rsidRPr="006B43CB" w:rsidRDefault="006B43CB" w:rsidP="006B43C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B43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Подпись</w:t>
            </w:r>
          </w:p>
        </w:tc>
        <w:tc>
          <w:tcPr>
            <w:tcW w:w="2551" w:type="dxa"/>
          </w:tcPr>
          <w:p w:rsidR="006B43CB" w:rsidRPr="006B43CB" w:rsidRDefault="006B43CB" w:rsidP="006B43C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B43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ФИО</w:t>
            </w:r>
          </w:p>
        </w:tc>
        <w:tc>
          <w:tcPr>
            <w:tcW w:w="1667" w:type="dxa"/>
          </w:tcPr>
          <w:p w:rsidR="006B43CB" w:rsidRPr="006B43CB" w:rsidRDefault="006B43CB" w:rsidP="006B43C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B43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Дата</w:t>
            </w:r>
          </w:p>
        </w:tc>
      </w:tr>
      <w:tr w:rsidR="006B43CB" w:rsidTr="006B43CB">
        <w:tc>
          <w:tcPr>
            <w:tcW w:w="59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390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56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67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6B43CB" w:rsidTr="006B43CB">
        <w:tc>
          <w:tcPr>
            <w:tcW w:w="59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390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56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67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6B43CB" w:rsidTr="006B43CB">
        <w:tc>
          <w:tcPr>
            <w:tcW w:w="59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390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56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67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6B43CB" w:rsidTr="006B43CB">
        <w:tc>
          <w:tcPr>
            <w:tcW w:w="59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390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56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67" w:type="dxa"/>
          </w:tcPr>
          <w:p w:rsidR="006B43CB" w:rsidRDefault="006B43CB" w:rsidP="006B43CB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6B43CB" w:rsidRPr="00A30902" w:rsidRDefault="006B43CB" w:rsidP="006B43CB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6B43CB" w:rsidRPr="00A30902" w:rsidSect="00387A76">
      <w:pgSz w:w="11905" w:h="16838"/>
      <w:pgMar w:top="1134" w:right="565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A"/>
    <w:rsid w:val="00082D22"/>
    <w:rsid w:val="00083AFF"/>
    <w:rsid w:val="000A5B59"/>
    <w:rsid w:val="00136FF3"/>
    <w:rsid w:val="0018360E"/>
    <w:rsid w:val="00297AA6"/>
    <w:rsid w:val="002B7507"/>
    <w:rsid w:val="002C088B"/>
    <w:rsid w:val="002D1487"/>
    <w:rsid w:val="00316F3C"/>
    <w:rsid w:val="00372F04"/>
    <w:rsid w:val="00387A76"/>
    <w:rsid w:val="003D42B1"/>
    <w:rsid w:val="003E7FC6"/>
    <w:rsid w:val="00430F42"/>
    <w:rsid w:val="0049223E"/>
    <w:rsid w:val="00496216"/>
    <w:rsid w:val="004A3015"/>
    <w:rsid w:val="004B23FF"/>
    <w:rsid w:val="00535B81"/>
    <w:rsid w:val="005F1C47"/>
    <w:rsid w:val="00604CF7"/>
    <w:rsid w:val="0065218F"/>
    <w:rsid w:val="00655BF6"/>
    <w:rsid w:val="0065678B"/>
    <w:rsid w:val="00664E8A"/>
    <w:rsid w:val="006679F2"/>
    <w:rsid w:val="006B43CB"/>
    <w:rsid w:val="006F7F01"/>
    <w:rsid w:val="00727542"/>
    <w:rsid w:val="00742909"/>
    <w:rsid w:val="00792A49"/>
    <w:rsid w:val="0079675D"/>
    <w:rsid w:val="007D0DC2"/>
    <w:rsid w:val="007E0E16"/>
    <w:rsid w:val="0082525B"/>
    <w:rsid w:val="008B3F95"/>
    <w:rsid w:val="008E36E3"/>
    <w:rsid w:val="00964352"/>
    <w:rsid w:val="009B45B2"/>
    <w:rsid w:val="00A2714A"/>
    <w:rsid w:val="00A30902"/>
    <w:rsid w:val="00A71EF0"/>
    <w:rsid w:val="00A73E26"/>
    <w:rsid w:val="00B0396A"/>
    <w:rsid w:val="00B60D67"/>
    <w:rsid w:val="00B77D58"/>
    <w:rsid w:val="00BA0F69"/>
    <w:rsid w:val="00C24CF5"/>
    <w:rsid w:val="00C43293"/>
    <w:rsid w:val="00C502D6"/>
    <w:rsid w:val="00C76DCF"/>
    <w:rsid w:val="00D13648"/>
    <w:rsid w:val="00D17B31"/>
    <w:rsid w:val="00E2452E"/>
    <w:rsid w:val="00E45CE7"/>
    <w:rsid w:val="00E625E6"/>
    <w:rsid w:val="00E71100"/>
    <w:rsid w:val="00E927AE"/>
    <w:rsid w:val="00F76D05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24AB82A6B32905A4F5E4F8A1089643E7760533ADC355A3386E81AF4DAACE7795F9E22zFt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30C54BA408ECC4971E24AB82A6B32905A4B574A8B1089643E7760533ADC354833DEE11AFE90FDA132509E22EDD44589904996zBt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24AB82A6B32905A4B574F871089643E7760533ADC355A3386E81AF4DAACE7795F9E22zF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C862-011B-40CD-8F37-727BA34C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2020-03-12T06:36:00Z</cp:lastPrinted>
  <dcterms:created xsi:type="dcterms:W3CDTF">2019-06-26T07:50:00Z</dcterms:created>
  <dcterms:modified xsi:type="dcterms:W3CDTF">2020-03-12T06:37:00Z</dcterms:modified>
</cp:coreProperties>
</file>